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5"/>
        <w:gridCol w:w="471"/>
        <w:gridCol w:w="2431"/>
        <w:gridCol w:w="524"/>
        <w:gridCol w:w="1108"/>
        <w:gridCol w:w="1995"/>
        <w:gridCol w:w="1995"/>
        <w:gridCol w:w="1995"/>
        <w:gridCol w:w="1996"/>
        <w:gridCol w:w="1858"/>
      </w:tblGrid>
      <w:tr w:rsidR="00F879F2" w:rsidRPr="00F879F2" w:rsidTr="00F879F2">
        <w:trPr>
          <w:gridAfter w:val="9"/>
          <w:wAfter w:w="9760" w:type="dxa"/>
          <w:tblCellSpacing w:w="7" w:type="dxa"/>
        </w:trPr>
        <w:tc>
          <w:tcPr>
            <w:tcW w:w="0" w:type="auto"/>
            <w:shd w:val="clear" w:color="auto" w:fill="F9FDFF"/>
            <w:vAlign w:val="center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879F2" w:rsidRPr="00F879F2" w:rsidTr="00F879F2">
        <w:trPr>
          <w:tblCellSpacing w:w="7" w:type="dxa"/>
        </w:trPr>
        <w:tc>
          <w:tcPr>
            <w:tcW w:w="50" w:type="pct"/>
            <w:vMerge w:val="restart"/>
            <w:shd w:val="clear" w:color="auto" w:fill="CCE6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№</w:t>
            </w:r>
          </w:p>
        </w:tc>
        <w:tc>
          <w:tcPr>
            <w:tcW w:w="50" w:type="pct"/>
            <w:vMerge w:val="restart"/>
            <w:shd w:val="clear" w:color="auto" w:fill="CCE6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" w:anchor="t" w:tooltip="Нажмите на заголовок столбца, чтобы отсортировать показатели по возрастанию / убыванию" w:history="1">
              <w:proofErr w:type="spellStart"/>
              <w:r w:rsidRPr="00F879F2">
                <w:rPr>
                  <w:rFonts w:ascii="Verdana" w:eastAsia="Times New Roman" w:hAnsi="Verdana" w:cs="Tahoma"/>
                  <w:b/>
                  <w:bCs/>
                  <w:color w:val="333399"/>
                  <w:sz w:val="16"/>
                  <w:u w:val="single"/>
                  <w:lang w:eastAsia="ru-RU"/>
                </w:rPr>
                <w:t>Рег</w:t>
              </w:r>
              <w:proofErr w:type="spellEnd"/>
              <w:r w:rsidRPr="00F879F2">
                <w:rPr>
                  <w:rFonts w:ascii="Verdana" w:eastAsia="Times New Roman" w:hAnsi="Verdana" w:cs="Tahoma"/>
                  <w:b/>
                  <w:bCs/>
                  <w:color w:val="333399"/>
                  <w:sz w:val="16"/>
                  <w:u w:val="single"/>
                  <w:lang w:eastAsia="ru-RU"/>
                </w:rPr>
                <w:t>. №</w:t>
              </w:r>
              <w:r w:rsidRPr="00F879F2">
                <w:rPr>
                  <w:rFonts w:ascii="Tahoma" w:eastAsia="Times New Roman" w:hAnsi="Tahoma" w:cs="Tahoma"/>
                  <w:b/>
                  <w:bCs/>
                  <w:color w:val="333399"/>
                  <w:sz w:val="16"/>
                  <w:szCs w:val="16"/>
                  <w:u w:val="single"/>
                  <w:lang w:eastAsia="ru-RU"/>
                </w:rPr>
                <w:br/>
              </w:r>
              <w:r>
                <w:rPr>
                  <w:rFonts w:ascii="Tahoma" w:eastAsia="Times New Roman" w:hAnsi="Tahoma" w:cs="Tahoma"/>
                  <w:b/>
                  <w:bCs/>
                  <w:noProof/>
                  <w:color w:val="333399"/>
                  <w:sz w:val="16"/>
                  <w:szCs w:val="16"/>
                  <w:lang w:eastAsia="ru-RU"/>
                </w:rPr>
                <w:drawing>
                  <wp:inline distT="0" distB="0" distL="0" distR="0">
                    <wp:extent cx="201295" cy="100965"/>
                    <wp:effectExtent l="0" t="0" r="0" b="0"/>
                    <wp:docPr id="1" name="Рисунок 1" descr="http://www.insur-info.ru/sub_engine/i_pics/statistics/arrow_up.gif">
                      <a:hlinkClick xmlns:a="http://schemas.openxmlformats.org/drawingml/2006/main" r:id="rId5" tooltip="&quot;Нажмите на заголовок столбца, чтобы отсортировать показатели по возрастанию / убыванию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www.insur-info.ru/sub_engine/i_pics/statistics/arrow_up.gif">
                              <a:hlinkClick r:id="rId5" tooltip="&quot;Нажмите на заголовок столбца, чтобы отсортировать показатели по возрастанию / убыванию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1295" cy="1009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900" w:type="pct"/>
            <w:vMerge w:val="restart"/>
            <w:shd w:val="clear" w:color="auto" w:fill="CCE6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anchor="t" w:tooltip="Нажмите на заголовок столбца, чтобы отсортировать показатели по возрастанию / убыванию" w:history="1">
              <w:r w:rsidRPr="00F879F2">
                <w:rPr>
                  <w:rFonts w:ascii="Verdana" w:eastAsia="Times New Roman" w:hAnsi="Verdana" w:cs="Tahoma"/>
                  <w:b/>
                  <w:bCs/>
                  <w:color w:val="333399"/>
                  <w:sz w:val="16"/>
                  <w:u w:val="single"/>
                  <w:lang w:eastAsia="ru-RU"/>
                </w:rPr>
                <w:t>Название страховой организации</w:t>
              </w:r>
            </w:hyperlink>
          </w:p>
        </w:tc>
        <w:tc>
          <w:tcPr>
            <w:tcW w:w="50" w:type="pct"/>
            <w:vMerge w:val="restart"/>
            <w:shd w:val="clear" w:color="auto" w:fill="CCE6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92075" cy="587375"/>
                  <wp:effectExtent l="19050" t="0" r="3175" b="0"/>
                  <wp:docPr id="2" name="Рисунок 2" descr="http://www.insur-info.ru/sub_engine/i_pics/statistics/txt_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nsur-info.ru/sub_engine/i_pics/statistics/txt_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" cy="58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pct"/>
            <w:vMerge w:val="restart"/>
            <w:shd w:val="clear" w:color="auto" w:fill="CCE6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anchor="t" w:tooltip="Нажмите на заголовок столбца, чтобы отсортировать показатели по возрастанию / убыванию" w:history="1">
              <w:r w:rsidRPr="00F879F2">
                <w:rPr>
                  <w:rFonts w:ascii="Verdana" w:eastAsia="Times New Roman" w:hAnsi="Verdana" w:cs="Tahoma"/>
                  <w:b/>
                  <w:bCs/>
                  <w:color w:val="333399"/>
                  <w:sz w:val="16"/>
                  <w:u w:val="single"/>
                  <w:lang w:eastAsia="ru-RU"/>
                </w:rPr>
                <w:t>Город</w:t>
              </w:r>
            </w:hyperlink>
          </w:p>
        </w:tc>
        <w:tc>
          <w:tcPr>
            <w:tcW w:w="750" w:type="pct"/>
            <w:vMerge w:val="restart"/>
            <w:shd w:val="clear" w:color="auto" w:fill="CCE6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anchor="t" w:tooltip="Нажмите на заголовок столбца, чтобы отсортировать показатели по возрастанию / убыванию" w:history="1">
              <w:r w:rsidRPr="00F879F2">
                <w:rPr>
                  <w:rFonts w:ascii="Verdana" w:eastAsia="Times New Roman" w:hAnsi="Verdana" w:cs="Tahoma"/>
                  <w:b/>
                  <w:bCs/>
                  <w:color w:val="333399"/>
                  <w:sz w:val="16"/>
                  <w:u w:val="single"/>
                  <w:lang w:eastAsia="ru-RU"/>
                </w:rPr>
                <w:t>Заключено договоров (продано полисов), ед.</w:t>
              </w:r>
            </w:hyperlink>
          </w:p>
        </w:tc>
        <w:tc>
          <w:tcPr>
            <w:tcW w:w="750" w:type="pct"/>
            <w:vMerge w:val="restart"/>
            <w:shd w:val="clear" w:color="auto" w:fill="CCE6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anchor="t" w:tooltip="Нажмите на заголовок столбца, чтобы отсортировать показатели по возрастанию / убыванию" w:history="1">
              <w:r w:rsidRPr="00F879F2">
                <w:rPr>
                  <w:rFonts w:ascii="Verdana" w:eastAsia="Times New Roman" w:hAnsi="Verdana" w:cs="Tahoma"/>
                  <w:b/>
                  <w:bCs/>
                  <w:color w:val="333399"/>
                  <w:sz w:val="16"/>
                  <w:u w:val="single"/>
                  <w:lang w:eastAsia="ru-RU"/>
                </w:rPr>
                <w:t>Страховая премия по заключенным договорам</w:t>
              </w:r>
            </w:hyperlink>
          </w:p>
        </w:tc>
        <w:tc>
          <w:tcPr>
            <w:tcW w:w="0" w:type="auto"/>
            <w:gridSpan w:val="2"/>
            <w:shd w:val="clear" w:color="auto" w:fill="CCE6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Количество страховых случаев, ед.</w:t>
            </w:r>
          </w:p>
        </w:tc>
        <w:tc>
          <w:tcPr>
            <w:tcW w:w="750" w:type="pct"/>
            <w:vMerge w:val="restart"/>
            <w:shd w:val="clear" w:color="auto" w:fill="CCE6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anchor="t" w:tooltip="Нажмите на заголовок столбца, чтобы отсортировать показатели по возрастанию / убыванию" w:history="1">
              <w:r w:rsidRPr="00F879F2">
                <w:rPr>
                  <w:rFonts w:ascii="Verdana" w:eastAsia="Times New Roman" w:hAnsi="Verdana" w:cs="Tahoma"/>
                  <w:b/>
                  <w:bCs/>
                  <w:color w:val="333399"/>
                  <w:sz w:val="16"/>
                  <w:u w:val="single"/>
                  <w:lang w:eastAsia="ru-RU"/>
                </w:rPr>
                <w:t>Сумма выплат по страховым случаям</w:t>
              </w:r>
            </w:hyperlink>
          </w:p>
        </w:tc>
      </w:tr>
      <w:tr w:rsidR="00F879F2" w:rsidRPr="00F879F2" w:rsidTr="00F879F2">
        <w:trPr>
          <w:tblCellSpacing w:w="7" w:type="dxa"/>
        </w:trPr>
        <w:tc>
          <w:tcPr>
            <w:tcW w:w="0" w:type="auto"/>
            <w:vMerge/>
            <w:shd w:val="clear" w:color="auto" w:fill="CCE6FF"/>
            <w:vAlign w:val="center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CCE6FF"/>
            <w:vAlign w:val="center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CCE6FF"/>
            <w:vAlign w:val="center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CCE6FF"/>
            <w:vAlign w:val="center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CCE6FF"/>
            <w:vAlign w:val="center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CCE6FF"/>
            <w:vAlign w:val="center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CCE6FF"/>
            <w:vAlign w:val="center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0" w:type="pct"/>
            <w:shd w:val="clear" w:color="auto" w:fill="CCE6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anchor="t" w:tooltip="Нажмите на заголовок столбца, чтобы отсортировать показатели по возрастанию / убыванию" w:history="1">
              <w:r w:rsidRPr="00F879F2">
                <w:rPr>
                  <w:rFonts w:ascii="Verdana" w:eastAsia="Times New Roman" w:hAnsi="Verdana" w:cs="Tahoma"/>
                  <w:b/>
                  <w:bCs/>
                  <w:color w:val="333399"/>
                  <w:sz w:val="16"/>
                  <w:u w:val="single"/>
                  <w:lang w:eastAsia="ru-RU"/>
                </w:rPr>
                <w:t>Заявленных</w:t>
              </w:r>
            </w:hyperlink>
          </w:p>
        </w:tc>
        <w:tc>
          <w:tcPr>
            <w:tcW w:w="750" w:type="pct"/>
            <w:shd w:val="clear" w:color="auto" w:fill="CCE6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anchor="t" w:tooltip="Нажмите на заголовок столбца, чтобы отсортировать показатели по возрастанию / убыванию" w:history="1">
              <w:r w:rsidRPr="00F879F2">
                <w:rPr>
                  <w:rFonts w:ascii="Verdana" w:eastAsia="Times New Roman" w:hAnsi="Verdana" w:cs="Tahoma"/>
                  <w:b/>
                  <w:bCs/>
                  <w:color w:val="333399"/>
                  <w:sz w:val="16"/>
                  <w:u w:val="single"/>
                  <w:lang w:eastAsia="ru-RU"/>
                </w:rPr>
                <w:t>Урегулированных</w:t>
              </w:r>
            </w:hyperlink>
          </w:p>
        </w:tc>
        <w:tc>
          <w:tcPr>
            <w:tcW w:w="0" w:type="auto"/>
            <w:vMerge/>
            <w:shd w:val="clear" w:color="auto" w:fill="CCE6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879F2" w:rsidRPr="00F879F2" w:rsidTr="00F879F2">
        <w:trPr>
          <w:tblCellSpacing w:w="7" w:type="dxa"/>
        </w:trPr>
        <w:tc>
          <w:tcPr>
            <w:tcW w:w="0" w:type="auto"/>
            <w:shd w:val="clear" w:color="auto" w:fill="CCE6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F879F2">
                <w:rPr>
                  <w:rFonts w:ascii="Tahoma" w:eastAsia="Times New Roman" w:hAnsi="Tahoma" w:cs="Tahoma"/>
                  <w:color w:val="333399"/>
                  <w:sz w:val="16"/>
                  <w:u w:val="single"/>
                  <w:lang w:eastAsia="ru-RU"/>
                </w:rPr>
                <w:t>РОСГОССТРАХ</w:t>
              </w:r>
            </w:hyperlink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3399"/>
                <w:sz w:val="16"/>
                <w:szCs w:val="16"/>
                <w:lang w:eastAsia="ru-RU"/>
              </w:rPr>
              <w:drawing>
                <wp:inline distT="0" distB="0" distL="0" distR="0">
                  <wp:extent cx="243205" cy="193040"/>
                  <wp:effectExtent l="19050" t="0" r="4445" b="0"/>
                  <wp:docPr id="3" name="Рисунок 3" descr="http://www.insur-info.ru/sub_engine/i_pics/statistics/icon_stat_o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nsur-info.ru/sub_engine/i_pics/statistics/icon_stat_o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30 831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140 133,609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1 076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1 076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32 632,948</w:t>
            </w:r>
          </w:p>
        </w:tc>
      </w:tr>
      <w:tr w:rsidR="00F879F2" w:rsidRPr="00F879F2" w:rsidTr="00F879F2">
        <w:trPr>
          <w:tblCellSpacing w:w="7" w:type="dxa"/>
        </w:trPr>
        <w:tc>
          <w:tcPr>
            <w:tcW w:w="0" w:type="auto"/>
            <w:shd w:val="clear" w:color="auto" w:fill="CCE6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F879F2">
                <w:rPr>
                  <w:rFonts w:ascii="Tahoma" w:eastAsia="Times New Roman" w:hAnsi="Tahoma" w:cs="Tahoma"/>
                  <w:color w:val="333399"/>
                  <w:sz w:val="16"/>
                  <w:u w:val="single"/>
                  <w:lang w:eastAsia="ru-RU"/>
                </w:rPr>
                <w:t>РОССИЯ</w:t>
              </w:r>
            </w:hyperlink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3399"/>
                <w:sz w:val="16"/>
                <w:szCs w:val="16"/>
                <w:lang w:eastAsia="ru-RU"/>
              </w:rPr>
              <w:drawing>
                <wp:inline distT="0" distB="0" distL="0" distR="0">
                  <wp:extent cx="243205" cy="193040"/>
                  <wp:effectExtent l="19050" t="0" r="4445" b="0"/>
                  <wp:docPr id="4" name="Рисунок 4" descr="http://www.insur-info.ru/sub_engine/i_pics/statistics/icon_stat_on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nsur-info.ru/sub_engine/i_pics/statistics/icon_stat_on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286 620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530 733,903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10 412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9 717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216 937,792</w:t>
            </w:r>
          </w:p>
        </w:tc>
      </w:tr>
      <w:tr w:rsidR="00F879F2" w:rsidRPr="00F879F2" w:rsidTr="00F879F2">
        <w:trPr>
          <w:tblCellSpacing w:w="7" w:type="dxa"/>
        </w:trPr>
        <w:tc>
          <w:tcPr>
            <w:tcW w:w="0" w:type="auto"/>
            <w:shd w:val="clear" w:color="auto" w:fill="CCE6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F879F2">
                <w:rPr>
                  <w:rFonts w:ascii="Tahoma" w:eastAsia="Times New Roman" w:hAnsi="Tahoma" w:cs="Tahoma"/>
                  <w:color w:val="333399"/>
                  <w:sz w:val="16"/>
                  <w:u w:val="single"/>
                  <w:lang w:eastAsia="ru-RU"/>
                </w:rPr>
                <w:t>ШАНС</w:t>
              </w:r>
            </w:hyperlink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3399"/>
                <w:sz w:val="16"/>
                <w:szCs w:val="16"/>
                <w:lang w:eastAsia="ru-RU"/>
              </w:rPr>
              <w:drawing>
                <wp:inline distT="0" distB="0" distL="0" distR="0">
                  <wp:extent cx="243205" cy="193040"/>
                  <wp:effectExtent l="19050" t="0" r="4445" b="0"/>
                  <wp:docPr id="5" name="Рисунок 5" descr="http://www.insur-info.ru/sub_engine/i_pics/statistics/icon_stat_on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nsur-info.ru/sub_engine/i_pics/statistics/icon_stat_on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Липецк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3 327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10 058,693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7 981,161</w:t>
            </w:r>
          </w:p>
        </w:tc>
      </w:tr>
      <w:tr w:rsidR="00F879F2" w:rsidRPr="00F879F2" w:rsidTr="00F879F2">
        <w:trPr>
          <w:tblCellSpacing w:w="7" w:type="dxa"/>
        </w:trPr>
        <w:tc>
          <w:tcPr>
            <w:tcW w:w="0" w:type="auto"/>
            <w:shd w:val="clear" w:color="auto" w:fill="CCE6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F879F2">
                <w:rPr>
                  <w:rFonts w:ascii="Tahoma" w:eastAsia="Times New Roman" w:hAnsi="Tahoma" w:cs="Tahoma"/>
                  <w:color w:val="333399"/>
                  <w:sz w:val="16"/>
                  <w:u w:val="single"/>
                  <w:lang w:eastAsia="ru-RU"/>
                </w:rPr>
                <w:t>АДМИРАЛ (ООО "СГ АДМИРАЛ")</w:t>
              </w:r>
            </w:hyperlink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3399"/>
                <w:sz w:val="16"/>
                <w:szCs w:val="16"/>
                <w:lang w:eastAsia="ru-RU"/>
              </w:rPr>
              <w:drawing>
                <wp:inline distT="0" distB="0" distL="0" distR="0">
                  <wp:extent cx="243205" cy="193040"/>
                  <wp:effectExtent l="19050" t="0" r="4445" b="0"/>
                  <wp:docPr id="6" name="Рисунок 6" descr="http://www.insur-info.ru/sub_engine/i_pics/statistics/icon_stat_on.gi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insur-info.ru/sub_engine/i_pics/statistics/icon_stat_on.gi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Ростов-на-Дону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67 919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112 298,764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2 320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2 411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47 146,673</w:t>
            </w:r>
          </w:p>
        </w:tc>
      </w:tr>
      <w:tr w:rsidR="00F879F2" w:rsidRPr="00F879F2" w:rsidTr="00F879F2">
        <w:trPr>
          <w:tblCellSpacing w:w="7" w:type="dxa"/>
        </w:trPr>
        <w:tc>
          <w:tcPr>
            <w:tcW w:w="0" w:type="auto"/>
            <w:shd w:val="clear" w:color="auto" w:fill="CCE6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F879F2">
                <w:rPr>
                  <w:rFonts w:ascii="Tahoma" w:eastAsia="Times New Roman" w:hAnsi="Tahoma" w:cs="Tahoma"/>
                  <w:color w:val="333399"/>
                  <w:sz w:val="16"/>
                  <w:u w:val="single"/>
                  <w:lang w:eastAsia="ru-RU"/>
                </w:rPr>
                <w:t>АНГАРА</w:t>
              </w:r>
            </w:hyperlink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3399"/>
                <w:sz w:val="16"/>
                <w:szCs w:val="16"/>
                <w:lang w:eastAsia="ru-RU"/>
              </w:rPr>
              <w:drawing>
                <wp:inline distT="0" distB="0" distL="0" distR="0">
                  <wp:extent cx="243205" cy="193040"/>
                  <wp:effectExtent l="19050" t="0" r="4445" b="0"/>
                  <wp:docPr id="7" name="Рисунок 7" descr="http://www.insur-info.ru/sub_engine/i_pics/statistics/icon_stat_on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insur-info.ru/sub_engine/i_pics/statistics/icon_stat_on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Братск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44 567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78 005,909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1 725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1 774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37 427,328</w:t>
            </w:r>
          </w:p>
        </w:tc>
      </w:tr>
      <w:tr w:rsidR="00F879F2" w:rsidRPr="00F879F2" w:rsidTr="00F879F2">
        <w:trPr>
          <w:tblCellSpacing w:w="7" w:type="dxa"/>
        </w:trPr>
        <w:tc>
          <w:tcPr>
            <w:tcW w:w="0" w:type="auto"/>
            <w:shd w:val="clear" w:color="auto" w:fill="CCE6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F879F2">
                <w:rPr>
                  <w:rFonts w:ascii="Tahoma" w:eastAsia="Times New Roman" w:hAnsi="Tahoma" w:cs="Tahoma"/>
                  <w:color w:val="333399"/>
                  <w:sz w:val="16"/>
                  <w:u w:val="single"/>
                  <w:lang w:eastAsia="ru-RU"/>
                </w:rPr>
                <w:t>ЖАСО-М</w:t>
              </w:r>
            </w:hyperlink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3399"/>
                <w:sz w:val="16"/>
                <w:szCs w:val="16"/>
                <w:lang w:eastAsia="ru-RU"/>
              </w:rPr>
              <w:drawing>
                <wp:inline distT="0" distB="0" distL="0" distR="0">
                  <wp:extent cx="243205" cy="193040"/>
                  <wp:effectExtent l="19050" t="0" r="4445" b="0"/>
                  <wp:docPr id="8" name="Рисунок 8" descr="http://www.insur-info.ru/sub_engine/i_pics/statistics/icon_stat_on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insur-info.ru/sub_engine/i_pics/statistics/icon_stat_on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Кемерово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21 989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36 947,528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1 245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1 176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28 720,882</w:t>
            </w:r>
          </w:p>
        </w:tc>
      </w:tr>
      <w:tr w:rsidR="00F879F2" w:rsidRPr="00F879F2" w:rsidTr="00F879F2">
        <w:trPr>
          <w:tblCellSpacing w:w="7" w:type="dxa"/>
        </w:trPr>
        <w:tc>
          <w:tcPr>
            <w:tcW w:w="0" w:type="auto"/>
            <w:shd w:val="clear" w:color="auto" w:fill="CCE6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F879F2">
                <w:rPr>
                  <w:rFonts w:ascii="Tahoma" w:eastAsia="Times New Roman" w:hAnsi="Tahoma" w:cs="Tahoma"/>
                  <w:color w:val="333399"/>
                  <w:sz w:val="16"/>
                  <w:u w:val="single"/>
                  <w:lang w:eastAsia="ru-RU"/>
                </w:rPr>
                <w:t>КОНДА</w:t>
              </w:r>
            </w:hyperlink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3399"/>
                <w:sz w:val="16"/>
                <w:szCs w:val="16"/>
                <w:lang w:eastAsia="ru-RU"/>
              </w:rPr>
              <w:drawing>
                <wp:inline distT="0" distB="0" distL="0" distR="0">
                  <wp:extent cx="243205" cy="193040"/>
                  <wp:effectExtent l="19050" t="0" r="4445" b="0"/>
                  <wp:docPr id="9" name="Рисунок 9" descr="http://www.insur-info.ru/sub_engine/i_pics/statistics/icon_stat_on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insur-info.ru/sub_engine/i_pics/statistics/icon_stat_on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23 815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59 502,855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16 335,551</w:t>
            </w:r>
          </w:p>
        </w:tc>
      </w:tr>
      <w:tr w:rsidR="00F879F2" w:rsidRPr="00F879F2" w:rsidTr="00F879F2">
        <w:trPr>
          <w:tblCellSpacing w:w="7" w:type="dxa"/>
        </w:trPr>
        <w:tc>
          <w:tcPr>
            <w:tcW w:w="0" w:type="auto"/>
            <w:shd w:val="clear" w:color="auto" w:fill="CCE6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F879F2">
                <w:rPr>
                  <w:rFonts w:ascii="Tahoma" w:eastAsia="Times New Roman" w:hAnsi="Tahoma" w:cs="Tahoma"/>
                  <w:color w:val="333399"/>
                  <w:sz w:val="16"/>
                  <w:u w:val="single"/>
                  <w:lang w:eastAsia="ru-RU"/>
                </w:rPr>
                <w:t>МЕТРОПОЛИС</w:t>
              </w:r>
            </w:hyperlink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3399"/>
                <w:sz w:val="16"/>
                <w:szCs w:val="16"/>
                <w:lang w:eastAsia="ru-RU"/>
              </w:rPr>
              <w:drawing>
                <wp:inline distT="0" distB="0" distL="0" distR="0">
                  <wp:extent cx="243205" cy="193040"/>
                  <wp:effectExtent l="19050" t="0" r="4445" b="0"/>
                  <wp:docPr id="10" name="Рисунок 10" descr="http://www.insur-info.ru/sub_engine/i_pics/statistics/icon_stat_on.gif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insur-info.ru/sub_engine/i_pics/statistics/icon_stat_on.gif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24 687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50 121,313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1 004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20 239,019</w:t>
            </w:r>
          </w:p>
        </w:tc>
      </w:tr>
      <w:tr w:rsidR="00F879F2" w:rsidRPr="00F879F2" w:rsidTr="00F879F2">
        <w:trPr>
          <w:tblCellSpacing w:w="7" w:type="dxa"/>
        </w:trPr>
        <w:tc>
          <w:tcPr>
            <w:tcW w:w="0" w:type="auto"/>
            <w:shd w:val="clear" w:color="auto" w:fill="CCE6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F879F2">
                <w:rPr>
                  <w:rFonts w:ascii="Tahoma" w:eastAsia="Times New Roman" w:hAnsi="Tahoma" w:cs="Tahoma"/>
                  <w:color w:val="333399"/>
                  <w:sz w:val="16"/>
                  <w:u w:val="single"/>
                  <w:lang w:eastAsia="ru-RU"/>
                </w:rPr>
                <w:t>ИНФОРМСТРАХ</w:t>
              </w:r>
            </w:hyperlink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3399"/>
                <w:sz w:val="16"/>
                <w:szCs w:val="16"/>
                <w:lang w:eastAsia="ru-RU"/>
              </w:rPr>
              <w:drawing>
                <wp:inline distT="0" distB="0" distL="0" distR="0">
                  <wp:extent cx="243205" cy="193040"/>
                  <wp:effectExtent l="19050" t="0" r="4445" b="0"/>
                  <wp:docPr id="11" name="Рисунок 11" descr="http://www.insur-info.ru/sub_engine/i_pics/statistics/icon_stat_on.gif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insur-info.ru/sub_engine/i_pics/statistics/icon_stat_on.gif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36 712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82 056,565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1 432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1 291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25 185,373</w:t>
            </w:r>
          </w:p>
        </w:tc>
      </w:tr>
      <w:tr w:rsidR="00F879F2" w:rsidRPr="00F879F2" w:rsidTr="00F879F2">
        <w:trPr>
          <w:tblCellSpacing w:w="7" w:type="dxa"/>
        </w:trPr>
        <w:tc>
          <w:tcPr>
            <w:tcW w:w="0" w:type="auto"/>
            <w:shd w:val="clear" w:color="auto" w:fill="CCE6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F879F2">
                <w:rPr>
                  <w:rFonts w:ascii="Tahoma" w:eastAsia="Times New Roman" w:hAnsi="Tahoma" w:cs="Tahoma"/>
                  <w:color w:val="333399"/>
                  <w:sz w:val="16"/>
                  <w:u w:val="single"/>
                  <w:lang w:eastAsia="ru-RU"/>
                </w:rPr>
                <w:t>МЕЖОТРАСЛЕВОЙ СТРАХОВОЙ ЦЕНТР</w:t>
              </w:r>
            </w:hyperlink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3399"/>
                <w:sz w:val="16"/>
                <w:szCs w:val="16"/>
                <w:lang w:eastAsia="ru-RU"/>
              </w:rPr>
              <w:drawing>
                <wp:inline distT="0" distB="0" distL="0" distR="0">
                  <wp:extent cx="243205" cy="193040"/>
                  <wp:effectExtent l="19050" t="0" r="4445" b="0"/>
                  <wp:docPr id="12" name="Рисунок 12" descr="http://www.insur-info.ru/sub_engine/i_pics/statistics/icon_stat_on.gif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insur-info.ru/sub_engine/i_pics/statistics/icon_stat_on.gif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13 764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36 772,081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839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16 427,213</w:t>
            </w:r>
          </w:p>
        </w:tc>
      </w:tr>
      <w:tr w:rsidR="00F879F2" w:rsidRPr="00F879F2" w:rsidTr="00F879F2">
        <w:trPr>
          <w:tblCellSpacing w:w="7" w:type="dxa"/>
        </w:trPr>
        <w:tc>
          <w:tcPr>
            <w:tcW w:w="0" w:type="auto"/>
            <w:shd w:val="clear" w:color="auto" w:fill="CCE6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F879F2">
                <w:rPr>
                  <w:rFonts w:ascii="Tahoma" w:eastAsia="Times New Roman" w:hAnsi="Tahoma" w:cs="Tahoma"/>
                  <w:color w:val="333399"/>
                  <w:sz w:val="16"/>
                  <w:u w:val="single"/>
                  <w:lang w:eastAsia="ru-RU"/>
                </w:rPr>
                <w:t>ИНВЕСТСТРАХ-АГРО</w:t>
              </w:r>
            </w:hyperlink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3399"/>
                <w:sz w:val="16"/>
                <w:szCs w:val="16"/>
                <w:lang w:eastAsia="ru-RU"/>
              </w:rPr>
              <w:drawing>
                <wp:inline distT="0" distB="0" distL="0" distR="0">
                  <wp:extent cx="243205" cy="193040"/>
                  <wp:effectExtent l="19050" t="0" r="4445" b="0"/>
                  <wp:docPr id="13" name="Рисунок 13" descr="http://www.insur-info.ru/sub_engine/i_pics/statistics/icon_stat_on.gif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insur-info.ru/sub_engine/i_pics/statistics/icon_stat_on.gif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13 742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23 976,007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4 389,977</w:t>
            </w:r>
          </w:p>
        </w:tc>
      </w:tr>
      <w:tr w:rsidR="00F879F2" w:rsidRPr="00F879F2" w:rsidTr="00F879F2">
        <w:trPr>
          <w:tblCellSpacing w:w="7" w:type="dxa"/>
        </w:trPr>
        <w:tc>
          <w:tcPr>
            <w:tcW w:w="0" w:type="auto"/>
            <w:shd w:val="clear" w:color="auto" w:fill="CCE6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F879F2">
                <w:rPr>
                  <w:rFonts w:ascii="Tahoma" w:eastAsia="Times New Roman" w:hAnsi="Tahoma" w:cs="Tahoma"/>
                  <w:color w:val="333399"/>
                  <w:sz w:val="16"/>
                  <w:u w:val="single"/>
                  <w:lang w:eastAsia="ru-RU"/>
                </w:rPr>
                <w:t>ИНКАССТРАХ</w:t>
              </w:r>
            </w:hyperlink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3399"/>
                <w:sz w:val="16"/>
                <w:szCs w:val="16"/>
                <w:lang w:eastAsia="ru-RU"/>
              </w:rPr>
              <w:drawing>
                <wp:inline distT="0" distB="0" distL="0" distR="0">
                  <wp:extent cx="243205" cy="193040"/>
                  <wp:effectExtent l="19050" t="0" r="4445" b="0"/>
                  <wp:docPr id="14" name="Рисунок 14" descr="http://www.insur-info.ru/sub_engine/i_pics/statistics/icon_stat_on.gif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insur-info.ru/sub_engine/i_pics/statistics/icon_stat_on.gif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Самара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8 643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19 729,882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13 798,689</w:t>
            </w:r>
          </w:p>
        </w:tc>
      </w:tr>
      <w:tr w:rsidR="00F879F2" w:rsidRPr="00F879F2" w:rsidTr="00F879F2">
        <w:trPr>
          <w:tblCellSpacing w:w="7" w:type="dxa"/>
        </w:trPr>
        <w:tc>
          <w:tcPr>
            <w:tcW w:w="0" w:type="auto"/>
            <w:shd w:val="clear" w:color="auto" w:fill="CCE6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F879F2">
                <w:rPr>
                  <w:rFonts w:ascii="Tahoma" w:eastAsia="Times New Roman" w:hAnsi="Tahoma" w:cs="Tahoma"/>
                  <w:color w:val="333399"/>
                  <w:sz w:val="16"/>
                  <w:u w:val="single"/>
                  <w:lang w:eastAsia="ru-RU"/>
                </w:rPr>
                <w:t>МЕДЭКСПРЕСС</w:t>
              </w:r>
            </w:hyperlink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3399"/>
                <w:sz w:val="16"/>
                <w:szCs w:val="16"/>
                <w:lang w:eastAsia="ru-RU"/>
              </w:rPr>
              <w:drawing>
                <wp:inline distT="0" distB="0" distL="0" distR="0">
                  <wp:extent cx="243205" cy="193040"/>
                  <wp:effectExtent l="19050" t="0" r="4445" b="0"/>
                  <wp:docPr id="15" name="Рисунок 15" descr="http://www.insur-info.ru/sub_engine/i_pics/statistics/icon_stat_on.gif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insur-info.ru/sub_engine/i_pics/statistics/icon_stat_on.gif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9 582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28 476,755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11 378,441</w:t>
            </w:r>
          </w:p>
        </w:tc>
      </w:tr>
      <w:tr w:rsidR="00F879F2" w:rsidRPr="00F879F2" w:rsidTr="00F879F2">
        <w:trPr>
          <w:tblCellSpacing w:w="7" w:type="dxa"/>
        </w:trPr>
        <w:tc>
          <w:tcPr>
            <w:tcW w:w="0" w:type="auto"/>
            <w:shd w:val="clear" w:color="auto" w:fill="CCE6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F879F2">
                <w:rPr>
                  <w:rFonts w:ascii="Tahoma" w:eastAsia="Times New Roman" w:hAnsi="Tahoma" w:cs="Tahoma"/>
                  <w:color w:val="333399"/>
                  <w:sz w:val="16"/>
                  <w:u w:val="single"/>
                  <w:lang w:eastAsia="ru-RU"/>
                </w:rPr>
                <w:t>ЖИВА</w:t>
              </w:r>
            </w:hyperlink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3399"/>
                <w:sz w:val="16"/>
                <w:szCs w:val="16"/>
                <w:lang w:eastAsia="ru-RU"/>
              </w:rPr>
              <w:drawing>
                <wp:inline distT="0" distB="0" distL="0" distR="0">
                  <wp:extent cx="243205" cy="193040"/>
                  <wp:effectExtent l="19050" t="0" r="4445" b="0"/>
                  <wp:docPr id="16" name="Рисунок 16" descr="http://www.insur-info.ru/sub_engine/i_pics/statistics/icon_stat_on.gif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insur-info.ru/sub_engine/i_pics/statistics/icon_stat_on.gif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24 397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46 279,644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1 527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1 538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33 232,996</w:t>
            </w:r>
          </w:p>
        </w:tc>
      </w:tr>
      <w:tr w:rsidR="00F879F2" w:rsidRPr="00F879F2" w:rsidTr="00F879F2">
        <w:trPr>
          <w:tblCellSpacing w:w="7" w:type="dxa"/>
        </w:trPr>
        <w:tc>
          <w:tcPr>
            <w:tcW w:w="0" w:type="auto"/>
            <w:shd w:val="clear" w:color="auto" w:fill="CCE6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F879F2">
                <w:rPr>
                  <w:rFonts w:ascii="Tahoma" w:eastAsia="Times New Roman" w:hAnsi="Tahoma" w:cs="Tahoma"/>
                  <w:color w:val="333399"/>
                  <w:sz w:val="16"/>
                  <w:u w:val="single"/>
                  <w:lang w:eastAsia="ru-RU"/>
                </w:rPr>
                <w:t>ЭРГО РУСЬ</w:t>
              </w:r>
            </w:hyperlink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3399"/>
                <w:sz w:val="16"/>
                <w:szCs w:val="16"/>
                <w:lang w:eastAsia="ru-RU"/>
              </w:rPr>
              <w:drawing>
                <wp:inline distT="0" distB="0" distL="0" distR="0">
                  <wp:extent cx="243205" cy="193040"/>
                  <wp:effectExtent l="19050" t="0" r="4445" b="0"/>
                  <wp:docPr id="17" name="Рисунок 17" descr="http://www.insur-info.ru/sub_engine/i_pics/statistics/icon_stat_on.gif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insur-info.ru/sub_engine/i_pics/statistics/icon_stat_on.gif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5 260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16 728,717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6 488,347</w:t>
            </w:r>
          </w:p>
        </w:tc>
      </w:tr>
      <w:tr w:rsidR="00F879F2" w:rsidRPr="00F879F2" w:rsidTr="00F879F2">
        <w:trPr>
          <w:tblCellSpacing w:w="7" w:type="dxa"/>
        </w:trPr>
        <w:tc>
          <w:tcPr>
            <w:tcW w:w="0" w:type="auto"/>
            <w:shd w:val="clear" w:color="auto" w:fill="CCE6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Pr="00F879F2">
                <w:rPr>
                  <w:rFonts w:ascii="Tahoma" w:eastAsia="Times New Roman" w:hAnsi="Tahoma" w:cs="Tahoma"/>
                  <w:color w:val="333399"/>
                  <w:sz w:val="16"/>
                  <w:u w:val="single"/>
                  <w:lang w:eastAsia="ru-RU"/>
                </w:rPr>
                <w:t>АСТЭК</w:t>
              </w:r>
            </w:hyperlink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3399"/>
                <w:sz w:val="16"/>
                <w:szCs w:val="16"/>
                <w:lang w:eastAsia="ru-RU"/>
              </w:rPr>
              <w:drawing>
                <wp:inline distT="0" distB="0" distL="0" distR="0">
                  <wp:extent cx="243205" cy="193040"/>
                  <wp:effectExtent l="19050" t="0" r="4445" b="0"/>
                  <wp:docPr id="18" name="Рисунок 18" descr="http://www.insur-info.ru/sub_engine/i_pics/statistics/icon_stat_on.gif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insur-info.ru/sub_engine/i_pics/statistics/icon_stat_on.gif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Надым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6 779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9 535,644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6 712,016</w:t>
            </w:r>
          </w:p>
        </w:tc>
      </w:tr>
      <w:tr w:rsidR="00F879F2" w:rsidRPr="00F879F2" w:rsidTr="00F879F2">
        <w:trPr>
          <w:tblCellSpacing w:w="7" w:type="dxa"/>
        </w:trPr>
        <w:tc>
          <w:tcPr>
            <w:tcW w:w="0" w:type="auto"/>
            <w:shd w:val="clear" w:color="auto" w:fill="CCE6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F879F2">
                <w:rPr>
                  <w:rFonts w:ascii="Tahoma" w:eastAsia="Times New Roman" w:hAnsi="Tahoma" w:cs="Tahoma"/>
                  <w:color w:val="333399"/>
                  <w:sz w:val="16"/>
                  <w:u w:val="single"/>
                  <w:lang w:eastAsia="ru-RU"/>
                </w:rPr>
                <w:t>УГМК-СТРАХОВАНИЕ</w:t>
              </w:r>
            </w:hyperlink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3399"/>
                <w:sz w:val="16"/>
                <w:szCs w:val="16"/>
                <w:lang w:eastAsia="ru-RU"/>
              </w:rPr>
              <w:drawing>
                <wp:inline distT="0" distB="0" distL="0" distR="0">
                  <wp:extent cx="243205" cy="193040"/>
                  <wp:effectExtent l="19050" t="0" r="4445" b="0"/>
                  <wp:docPr id="19" name="Рисунок 19" descr="http://www.insur-info.ru/sub_engine/i_pics/statistics/icon_stat_on.gif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insur-info.ru/sub_engine/i_pics/statistics/icon_stat_on.gif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Екатеринбург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5 711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10 913,676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3 298,226</w:t>
            </w:r>
          </w:p>
        </w:tc>
      </w:tr>
      <w:tr w:rsidR="00F879F2" w:rsidRPr="00F879F2" w:rsidTr="00F879F2">
        <w:trPr>
          <w:tblCellSpacing w:w="7" w:type="dxa"/>
        </w:trPr>
        <w:tc>
          <w:tcPr>
            <w:tcW w:w="0" w:type="auto"/>
            <w:shd w:val="clear" w:color="auto" w:fill="CCE6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Pr="00F879F2">
                <w:rPr>
                  <w:rFonts w:ascii="Tahoma" w:eastAsia="Times New Roman" w:hAnsi="Tahoma" w:cs="Tahoma"/>
                  <w:color w:val="333399"/>
                  <w:sz w:val="16"/>
                  <w:u w:val="single"/>
                  <w:lang w:eastAsia="ru-RU"/>
                </w:rPr>
                <w:t>ЖАСО</w:t>
              </w:r>
            </w:hyperlink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3399"/>
                <w:sz w:val="16"/>
                <w:szCs w:val="16"/>
                <w:lang w:eastAsia="ru-RU"/>
              </w:rPr>
              <w:drawing>
                <wp:inline distT="0" distB="0" distL="0" distR="0">
                  <wp:extent cx="243205" cy="193040"/>
                  <wp:effectExtent l="19050" t="0" r="4445" b="0"/>
                  <wp:docPr id="20" name="Рисунок 20" descr="http://www.insur-info.ru/sub_engine/i_pics/statistics/icon_stat_on.gif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insur-info.ru/sub_engine/i_pics/statistics/icon_stat_on.gif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100 026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219 211,066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5 001</w:t>
            </w: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101 195,245</w:t>
            </w:r>
          </w:p>
        </w:tc>
      </w:tr>
      <w:tr w:rsidR="00F879F2" w:rsidRPr="00F879F2" w:rsidTr="00F879F2">
        <w:trPr>
          <w:tblCellSpacing w:w="7" w:type="dxa"/>
        </w:trPr>
        <w:tc>
          <w:tcPr>
            <w:tcW w:w="0" w:type="auto"/>
            <w:shd w:val="clear" w:color="auto" w:fill="CCE6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history="1">
              <w:r w:rsidRPr="00F879F2">
                <w:rPr>
                  <w:rFonts w:ascii="Tahoma" w:eastAsia="Times New Roman" w:hAnsi="Tahoma" w:cs="Tahoma"/>
                  <w:color w:val="333399"/>
                  <w:sz w:val="16"/>
                  <w:u w:val="single"/>
                  <w:lang w:eastAsia="ru-RU"/>
                </w:rPr>
                <w:t>АЛЬЯНС</w:t>
              </w:r>
            </w:hyperlink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3399"/>
                <w:sz w:val="16"/>
                <w:szCs w:val="16"/>
                <w:lang w:eastAsia="ru-RU"/>
              </w:rPr>
              <w:drawing>
                <wp:inline distT="0" distB="0" distL="0" distR="0">
                  <wp:extent cx="243205" cy="193040"/>
                  <wp:effectExtent l="19050" t="0" r="4445" b="0"/>
                  <wp:docPr id="21" name="Рисунок 21" descr="http://www.insur-info.ru/sub_engine/i_pics/statistics/icon_stat_on.gif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insur-info.ru/sub_engine/i_pics/statistics/icon_stat_on.gif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650 095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1 787 128,629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28 789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27 350</w:t>
            </w:r>
          </w:p>
        </w:tc>
        <w:tc>
          <w:tcPr>
            <w:tcW w:w="0" w:type="auto"/>
            <w:shd w:val="clear" w:color="auto" w:fill="F0FA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79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610 404,335</w:t>
            </w:r>
          </w:p>
        </w:tc>
      </w:tr>
      <w:tr w:rsidR="00F879F2" w:rsidRPr="00F879F2" w:rsidTr="00F879F2">
        <w:trPr>
          <w:tblCellSpacing w:w="7" w:type="dxa"/>
        </w:trPr>
        <w:tc>
          <w:tcPr>
            <w:tcW w:w="0" w:type="auto"/>
            <w:shd w:val="clear" w:color="auto" w:fill="CCE6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9FDFF"/>
            <w:hideMark/>
          </w:tcPr>
          <w:p w:rsidR="00F879F2" w:rsidRPr="00F879F2" w:rsidRDefault="00F879F2" w:rsidP="00F879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DFF"/>
            <w:vAlign w:val="center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4A47" w:rsidRDefault="00234A47"/>
    <w:sectPr w:rsidR="00234A47" w:rsidSect="00F879F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79F2"/>
    <w:rsid w:val="00001D8B"/>
    <w:rsid w:val="00005A1D"/>
    <w:rsid w:val="00011744"/>
    <w:rsid w:val="00013AD9"/>
    <w:rsid w:val="00021D35"/>
    <w:rsid w:val="00030795"/>
    <w:rsid w:val="000322CC"/>
    <w:rsid w:val="000328D6"/>
    <w:rsid w:val="000417F0"/>
    <w:rsid w:val="00043603"/>
    <w:rsid w:val="00044465"/>
    <w:rsid w:val="000444A4"/>
    <w:rsid w:val="000502E7"/>
    <w:rsid w:val="00052E08"/>
    <w:rsid w:val="0005637F"/>
    <w:rsid w:val="00057246"/>
    <w:rsid w:val="000655E7"/>
    <w:rsid w:val="00065D1E"/>
    <w:rsid w:val="00080686"/>
    <w:rsid w:val="0008253F"/>
    <w:rsid w:val="0009040F"/>
    <w:rsid w:val="0009164C"/>
    <w:rsid w:val="00091B4B"/>
    <w:rsid w:val="00097295"/>
    <w:rsid w:val="000A2016"/>
    <w:rsid w:val="000A4469"/>
    <w:rsid w:val="000B2C13"/>
    <w:rsid w:val="000B437F"/>
    <w:rsid w:val="000B4CBE"/>
    <w:rsid w:val="000D234D"/>
    <w:rsid w:val="000D4437"/>
    <w:rsid w:val="000D6309"/>
    <w:rsid w:val="000D7B83"/>
    <w:rsid w:val="000E0743"/>
    <w:rsid w:val="000E1B48"/>
    <w:rsid w:val="000E4593"/>
    <w:rsid w:val="000E65EB"/>
    <w:rsid w:val="000E7E91"/>
    <w:rsid w:val="000F10B1"/>
    <w:rsid w:val="000F1C8B"/>
    <w:rsid w:val="000F4545"/>
    <w:rsid w:val="000F4707"/>
    <w:rsid w:val="000F7839"/>
    <w:rsid w:val="00100302"/>
    <w:rsid w:val="00103935"/>
    <w:rsid w:val="0011056E"/>
    <w:rsid w:val="00110F69"/>
    <w:rsid w:val="00114B07"/>
    <w:rsid w:val="00115F3B"/>
    <w:rsid w:val="00122678"/>
    <w:rsid w:val="00123B41"/>
    <w:rsid w:val="00125ED2"/>
    <w:rsid w:val="0012627E"/>
    <w:rsid w:val="00131396"/>
    <w:rsid w:val="001369A7"/>
    <w:rsid w:val="00136C2B"/>
    <w:rsid w:val="001402EE"/>
    <w:rsid w:val="001457B0"/>
    <w:rsid w:val="00151B26"/>
    <w:rsid w:val="001548B1"/>
    <w:rsid w:val="00160448"/>
    <w:rsid w:val="00165078"/>
    <w:rsid w:val="001707BE"/>
    <w:rsid w:val="001753CB"/>
    <w:rsid w:val="001945FF"/>
    <w:rsid w:val="00195808"/>
    <w:rsid w:val="00197CF5"/>
    <w:rsid w:val="001A0511"/>
    <w:rsid w:val="001A32E3"/>
    <w:rsid w:val="001A49FF"/>
    <w:rsid w:val="001A6629"/>
    <w:rsid w:val="001A7774"/>
    <w:rsid w:val="001B41EB"/>
    <w:rsid w:val="001B4376"/>
    <w:rsid w:val="001B7B59"/>
    <w:rsid w:val="001C2DF6"/>
    <w:rsid w:val="001C4D62"/>
    <w:rsid w:val="001C6E69"/>
    <w:rsid w:val="001D4EE1"/>
    <w:rsid w:val="001E1F20"/>
    <w:rsid w:val="001E39CB"/>
    <w:rsid w:val="001E5225"/>
    <w:rsid w:val="001F413E"/>
    <w:rsid w:val="001F4358"/>
    <w:rsid w:val="00200A92"/>
    <w:rsid w:val="0020375B"/>
    <w:rsid w:val="00203F06"/>
    <w:rsid w:val="00210F34"/>
    <w:rsid w:val="002178F6"/>
    <w:rsid w:val="00223AE0"/>
    <w:rsid w:val="00224D2E"/>
    <w:rsid w:val="00234A47"/>
    <w:rsid w:val="0023594B"/>
    <w:rsid w:val="00235A95"/>
    <w:rsid w:val="002379BE"/>
    <w:rsid w:val="0025410E"/>
    <w:rsid w:val="002562A2"/>
    <w:rsid w:val="0026536F"/>
    <w:rsid w:val="00266C65"/>
    <w:rsid w:val="00271B1F"/>
    <w:rsid w:val="00272A22"/>
    <w:rsid w:val="00280F22"/>
    <w:rsid w:val="00284CDE"/>
    <w:rsid w:val="00286681"/>
    <w:rsid w:val="00291008"/>
    <w:rsid w:val="00293340"/>
    <w:rsid w:val="002A0044"/>
    <w:rsid w:val="002B060A"/>
    <w:rsid w:val="002B191C"/>
    <w:rsid w:val="002B25DF"/>
    <w:rsid w:val="002C0AAC"/>
    <w:rsid w:val="002C2A8F"/>
    <w:rsid w:val="002C52F7"/>
    <w:rsid w:val="002C5E52"/>
    <w:rsid w:val="002D03D6"/>
    <w:rsid w:val="002D49C3"/>
    <w:rsid w:val="002D77C6"/>
    <w:rsid w:val="002E5A69"/>
    <w:rsid w:val="002E7201"/>
    <w:rsid w:val="002F4DDF"/>
    <w:rsid w:val="002F5D13"/>
    <w:rsid w:val="00301B85"/>
    <w:rsid w:val="003070C3"/>
    <w:rsid w:val="003073D7"/>
    <w:rsid w:val="0031199E"/>
    <w:rsid w:val="00312572"/>
    <w:rsid w:val="00313850"/>
    <w:rsid w:val="0034002D"/>
    <w:rsid w:val="00340200"/>
    <w:rsid w:val="00342FE2"/>
    <w:rsid w:val="0034449B"/>
    <w:rsid w:val="003448E3"/>
    <w:rsid w:val="00344F6A"/>
    <w:rsid w:val="00356B02"/>
    <w:rsid w:val="003636D1"/>
    <w:rsid w:val="003650B1"/>
    <w:rsid w:val="00365D01"/>
    <w:rsid w:val="003837F9"/>
    <w:rsid w:val="003875F7"/>
    <w:rsid w:val="00387A60"/>
    <w:rsid w:val="003974CD"/>
    <w:rsid w:val="003B0038"/>
    <w:rsid w:val="003B20C6"/>
    <w:rsid w:val="003B5E15"/>
    <w:rsid w:val="003B7B1F"/>
    <w:rsid w:val="003C0C35"/>
    <w:rsid w:val="003C1D46"/>
    <w:rsid w:val="003C472A"/>
    <w:rsid w:val="003C5FED"/>
    <w:rsid w:val="003C68F6"/>
    <w:rsid w:val="003D1165"/>
    <w:rsid w:val="003E1410"/>
    <w:rsid w:val="003E1E2B"/>
    <w:rsid w:val="003E69F3"/>
    <w:rsid w:val="003E6A88"/>
    <w:rsid w:val="003F1FC3"/>
    <w:rsid w:val="004000A2"/>
    <w:rsid w:val="0040266A"/>
    <w:rsid w:val="0040595F"/>
    <w:rsid w:val="0041308A"/>
    <w:rsid w:val="004163EC"/>
    <w:rsid w:val="00416DCD"/>
    <w:rsid w:val="00424FCB"/>
    <w:rsid w:val="00426438"/>
    <w:rsid w:val="004268AD"/>
    <w:rsid w:val="00440A90"/>
    <w:rsid w:val="00444A9C"/>
    <w:rsid w:val="004514C0"/>
    <w:rsid w:val="00453B9F"/>
    <w:rsid w:val="00477928"/>
    <w:rsid w:val="004811C7"/>
    <w:rsid w:val="00484DA2"/>
    <w:rsid w:val="00487BF4"/>
    <w:rsid w:val="00490DF8"/>
    <w:rsid w:val="00490E3A"/>
    <w:rsid w:val="00494A69"/>
    <w:rsid w:val="00494E21"/>
    <w:rsid w:val="0049652B"/>
    <w:rsid w:val="004A1980"/>
    <w:rsid w:val="004A71E6"/>
    <w:rsid w:val="004B01B2"/>
    <w:rsid w:val="004C095F"/>
    <w:rsid w:val="004D33E7"/>
    <w:rsid w:val="004D7DE3"/>
    <w:rsid w:val="004E2439"/>
    <w:rsid w:val="004E7817"/>
    <w:rsid w:val="004E7FBC"/>
    <w:rsid w:val="004F1F76"/>
    <w:rsid w:val="00501840"/>
    <w:rsid w:val="005025AD"/>
    <w:rsid w:val="00503FE1"/>
    <w:rsid w:val="00512C81"/>
    <w:rsid w:val="00515850"/>
    <w:rsid w:val="0052346B"/>
    <w:rsid w:val="00537168"/>
    <w:rsid w:val="00542C24"/>
    <w:rsid w:val="0055150E"/>
    <w:rsid w:val="00551B88"/>
    <w:rsid w:val="00553F68"/>
    <w:rsid w:val="005634F3"/>
    <w:rsid w:val="00567001"/>
    <w:rsid w:val="005716E7"/>
    <w:rsid w:val="005769F1"/>
    <w:rsid w:val="00576E19"/>
    <w:rsid w:val="00577B1D"/>
    <w:rsid w:val="005827D2"/>
    <w:rsid w:val="00583166"/>
    <w:rsid w:val="00592039"/>
    <w:rsid w:val="005926EE"/>
    <w:rsid w:val="00595292"/>
    <w:rsid w:val="00595CC2"/>
    <w:rsid w:val="005A37FC"/>
    <w:rsid w:val="005A6B1B"/>
    <w:rsid w:val="005B2B12"/>
    <w:rsid w:val="005B2F8C"/>
    <w:rsid w:val="005D0CAD"/>
    <w:rsid w:val="005D0E0B"/>
    <w:rsid w:val="005D3411"/>
    <w:rsid w:val="005E396E"/>
    <w:rsid w:val="005F2543"/>
    <w:rsid w:val="005F4AEA"/>
    <w:rsid w:val="006078FD"/>
    <w:rsid w:val="00611C16"/>
    <w:rsid w:val="00615040"/>
    <w:rsid w:val="006201C7"/>
    <w:rsid w:val="00622C25"/>
    <w:rsid w:val="006277F4"/>
    <w:rsid w:val="006302B4"/>
    <w:rsid w:val="00634411"/>
    <w:rsid w:val="00636F6E"/>
    <w:rsid w:val="0064085F"/>
    <w:rsid w:val="00644516"/>
    <w:rsid w:val="00655F91"/>
    <w:rsid w:val="00663F2A"/>
    <w:rsid w:val="00671375"/>
    <w:rsid w:val="006846B6"/>
    <w:rsid w:val="0068514D"/>
    <w:rsid w:val="0068753D"/>
    <w:rsid w:val="0068794E"/>
    <w:rsid w:val="006957DA"/>
    <w:rsid w:val="006968BB"/>
    <w:rsid w:val="006977AA"/>
    <w:rsid w:val="00697F5C"/>
    <w:rsid w:val="006A19D8"/>
    <w:rsid w:val="006A22FF"/>
    <w:rsid w:val="006A39AF"/>
    <w:rsid w:val="006A3C82"/>
    <w:rsid w:val="006A6456"/>
    <w:rsid w:val="006B214D"/>
    <w:rsid w:val="006B6180"/>
    <w:rsid w:val="006C5E04"/>
    <w:rsid w:val="006D4E7F"/>
    <w:rsid w:val="006D6B0C"/>
    <w:rsid w:val="006E05BB"/>
    <w:rsid w:val="006F6586"/>
    <w:rsid w:val="006F7924"/>
    <w:rsid w:val="00701760"/>
    <w:rsid w:val="00704B0D"/>
    <w:rsid w:val="0071164C"/>
    <w:rsid w:val="007129F2"/>
    <w:rsid w:val="0071380F"/>
    <w:rsid w:val="0071449A"/>
    <w:rsid w:val="00722195"/>
    <w:rsid w:val="00732263"/>
    <w:rsid w:val="00733A05"/>
    <w:rsid w:val="0073405B"/>
    <w:rsid w:val="00734478"/>
    <w:rsid w:val="0074540C"/>
    <w:rsid w:val="00750F19"/>
    <w:rsid w:val="00763741"/>
    <w:rsid w:val="007637A0"/>
    <w:rsid w:val="0076454A"/>
    <w:rsid w:val="00765777"/>
    <w:rsid w:val="00765C50"/>
    <w:rsid w:val="00770575"/>
    <w:rsid w:val="00770BB6"/>
    <w:rsid w:val="00770CCE"/>
    <w:rsid w:val="00772188"/>
    <w:rsid w:val="00774BE1"/>
    <w:rsid w:val="0078114E"/>
    <w:rsid w:val="007819F9"/>
    <w:rsid w:val="00784E5B"/>
    <w:rsid w:val="007A7C96"/>
    <w:rsid w:val="007B1BE7"/>
    <w:rsid w:val="007C189E"/>
    <w:rsid w:val="007D6010"/>
    <w:rsid w:val="007E56A9"/>
    <w:rsid w:val="007F2005"/>
    <w:rsid w:val="007F250E"/>
    <w:rsid w:val="007F7C3B"/>
    <w:rsid w:val="008019C2"/>
    <w:rsid w:val="008028A3"/>
    <w:rsid w:val="0080787E"/>
    <w:rsid w:val="00813014"/>
    <w:rsid w:val="0082094D"/>
    <w:rsid w:val="00825C6D"/>
    <w:rsid w:val="0082685B"/>
    <w:rsid w:val="00832972"/>
    <w:rsid w:val="00840ED2"/>
    <w:rsid w:val="008410E8"/>
    <w:rsid w:val="00842923"/>
    <w:rsid w:val="0084525E"/>
    <w:rsid w:val="0084730B"/>
    <w:rsid w:val="0085201F"/>
    <w:rsid w:val="008560A2"/>
    <w:rsid w:val="008602C0"/>
    <w:rsid w:val="0086315E"/>
    <w:rsid w:val="00872C03"/>
    <w:rsid w:val="00887836"/>
    <w:rsid w:val="00890F06"/>
    <w:rsid w:val="008B0717"/>
    <w:rsid w:val="008C4D24"/>
    <w:rsid w:val="008D73D4"/>
    <w:rsid w:val="008F0C32"/>
    <w:rsid w:val="008F1085"/>
    <w:rsid w:val="008F30F5"/>
    <w:rsid w:val="008F3897"/>
    <w:rsid w:val="008F5D19"/>
    <w:rsid w:val="00903F77"/>
    <w:rsid w:val="00906670"/>
    <w:rsid w:val="009117CB"/>
    <w:rsid w:val="0091630C"/>
    <w:rsid w:val="009218A6"/>
    <w:rsid w:val="009250CA"/>
    <w:rsid w:val="00935377"/>
    <w:rsid w:val="00947A0E"/>
    <w:rsid w:val="00951B4B"/>
    <w:rsid w:val="0095217B"/>
    <w:rsid w:val="009577CC"/>
    <w:rsid w:val="00961E97"/>
    <w:rsid w:val="00967D39"/>
    <w:rsid w:val="009721AF"/>
    <w:rsid w:val="00977895"/>
    <w:rsid w:val="00982CAB"/>
    <w:rsid w:val="00986809"/>
    <w:rsid w:val="00993776"/>
    <w:rsid w:val="009A4918"/>
    <w:rsid w:val="009A6D62"/>
    <w:rsid w:val="009B21D1"/>
    <w:rsid w:val="009B4208"/>
    <w:rsid w:val="009B5012"/>
    <w:rsid w:val="009B701E"/>
    <w:rsid w:val="009C7C8D"/>
    <w:rsid w:val="009D2913"/>
    <w:rsid w:val="009D5439"/>
    <w:rsid w:val="009E0053"/>
    <w:rsid w:val="009E12B9"/>
    <w:rsid w:val="009E3149"/>
    <w:rsid w:val="009E455F"/>
    <w:rsid w:val="009E7863"/>
    <w:rsid w:val="009F2E89"/>
    <w:rsid w:val="009F3E57"/>
    <w:rsid w:val="00A01261"/>
    <w:rsid w:val="00A24818"/>
    <w:rsid w:val="00A329D2"/>
    <w:rsid w:val="00A336D4"/>
    <w:rsid w:val="00A33C8A"/>
    <w:rsid w:val="00A3460F"/>
    <w:rsid w:val="00A36E5C"/>
    <w:rsid w:val="00A4274E"/>
    <w:rsid w:val="00A44B03"/>
    <w:rsid w:val="00A451A0"/>
    <w:rsid w:val="00A47F31"/>
    <w:rsid w:val="00A62BCF"/>
    <w:rsid w:val="00A67720"/>
    <w:rsid w:val="00A74D48"/>
    <w:rsid w:val="00A75B63"/>
    <w:rsid w:val="00A77A7B"/>
    <w:rsid w:val="00A82137"/>
    <w:rsid w:val="00A82D3A"/>
    <w:rsid w:val="00A85609"/>
    <w:rsid w:val="00A8611D"/>
    <w:rsid w:val="00A87137"/>
    <w:rsid w:val="00A87753"/>
    <w:rsid w:val="00A93E33"/>
    <w:rsid w:val="00A962E3"/>
    <w:rsid w:val="00A97479"/>
    <w:rsid w:val="00AA18DB"/>
    <w:rsid w:val="00AA70B5"/>
    <w:rsid w:val="00AB620A"/>
    <w:rsid w:val="00AB6754"/>
    <w:rsid w:val="00AB7535"/>
    <w:rsid w:val="00AC4E66"/>
    <w:rsid w:val="00AD237E"/>
    <w:rsid w:val="00AE3620"/>
    <w:rsid w:val="00AE68BE"/>
    <w:rsid w:val="00B047A2"/>
    <w:rsid w:val="00B05301"/>
    <w:rsid w:val="00B20080"/>
    <w:rsid w:val="00B22A5C"/>
    <w:rsid w:val="00B348F9"/>
    <w:rsid w:val="00B364DF"/>
    <w:rsid w:val="00B43968"/>
    <w:rsid w:val="00B51F09"/>
    <w:rsid w:val="00B57E6C"/>
    <w:rsid w:val="00B6308C"/>
    <w:rsid w:val="00B64E28"/>
    <w:rsid w:val="00B67835"/>
    <w:rsid w:val="00B74FA1"/>
    <w:rsid w:val="00B76E9A"/>
    <w:rsid w:val="00B8194D"/>
    <w:rsid w:val="00B84146"/>
    <w:rsid w:val="00B84A1C"/>
    <w:rsid w:val="00B84A5E"/>
    <w:rsid w:val="00B84D4E"/>
    <w:rsid w:val="00B86488"/>
    <w:rsid w:val="00B928E3"/>
    <w:rsid w:val="00B929D8"/>
    <w:rsid w:val="00B9656E"/>
    <w:rsid w:val="00BA180B"/>
    <w:rsid w:val="00BA200E"/>
    <w:rsid w:val="00BA5C3E"/>
    <w:rsid w:val="00BA679D"/>
    <w:rsid w:val="00BA7A0A"/>
    <w:rsid w:val="00BC585D"/>
    <w:rsid w:val="00BD00DF"/>
    <w:rsid w:val="00BD1E67"/>
    <w:rsid w:val="00BD2290"/>
    <w:rsid w:val="00BD4DF9"/>
    <w:rsid w:val="00BD7B9B"/>
    <w:rsid w:val="00BE1296"/>
    <w:rsid w:val="00BE6A57"/>
    <w:rsid w:val="00BE6E9C"/>
    <w:rsid w:val="00BF0BE7"/>
    <w:rsid w:val="00C00029"/>
    <w:rsid w:val="00C03384"/>
    <w:rsid w:val="00C16D56"/>
    <w:rsid w:val="00C201CF"/>
    <w:rsid w:val="00C21715"/>
    <w:rsid w:val="00C419F6"/>
    <w:rsid w:val="00C43E83"/>
    <w:rsid w:val="00C46022"/>
    <w:rsid w:val="00C46135"/>
    <w:rsid w:val="00C51DA6"/>
    <w:rsid w:val="00C63199"/>
    <w:rsid w:val="00C65050"/>
    <w:rsid w:val="00C757C1"/>
    <w:rsid w:val="00C7795B"/>
    <w:rsid w:val="00C81991"/>
    <w:rsid w:val="00C85588"/>
    <w:rsid w:val="00C93E40"/>
    <w:rsid w:val="00CA1321"/>
    <w:rsid w:val="00CB4C07"/>
    <w:rsid w:val="00CC61C7"/>
    <w:rsid w:val="00CC685A"/>
    <w:rsid w:val="00CC79BB"/>
    <w:rsid w:val="00CC7B1E"/>
    <w:rsid w:val="00CD59BE"/>
    <w:rsid w:val="00CE17FC"/>
    <w:rsid w:val="00CE1C5F"/>
    <w:rsid w:val="00CE32BC"/>
    <w:rsid w:val="00CF046F"/>
    <w:rsid w:val="00CF0B3A"/>
    <w:rsid w:val="00CF51E2"/>
    <w:rsid w:val="00CF5ABB"/>
    <w:rsid w:val="00D03D02"/>
    <w:rsid w:val="00D0497B"/>
    <w:rsid w:val="00D15B71"/>
    <w:rsid w:val="00D209DB"/>
    <w:rsid w:val="00D354C3"/>
    <w:rsid w:val="00D41457"/>
    <w:rsid w:val="00D45AD0"/>
    <w:rsid w:val="00D45D64"/>
    <w:rsid w:val="00D4745F"/>
    <w:rsid w:val="00D52F6E"/>
    <w:rsid w:val="00D55876"/>
    <w:rsid w:val="00D6082A"/>
    <w:rsid w:val="00D61E61"/>
    <w:rsid w:val="00D656A0"/>
    <w:rsid w:val="00D6705C"/>
    <w:rsid w:val="00D6774E"/>
    <w:rsid w:val="00D67D70"/>
    <w:rsid w:val="00D72D92"/>
    <w:rsid w:val="00D91347"/>
    <w:rsid w:val="00D934E3"/>
    <w:rsid w:val="00D93760"/>
    <w:rsid w:val="00D93CB5"/>
    <w:rsid w:val="00DA17BF"/>
    <w:rsid w:val="00DA302D"/>
    <w:rsid w:val="00DA6750"/>
    <w:rsid w:val="00DA72BE"/>
    <w:rsid w:val="00DB1E65"/>
    <w:rsid w:val="00DB380B"/>
    <w:rsid w:val="00DC0016"/>
    <w:rsid w:val="00DC504F"/>
    <w:rsid w:val="00DD227B"/>
    <w:rsid w:val="00DD75D4"/>
    <w:rsid w:val="00DE2DD6"/>
    <w:rsid w:val="00DE57B0"/>
    <w:rsid w:val="00DF1912"/>
    <w:rsid w:val="00DF1B27"/>
    <w:rsid w:val="00DF352A"/>
    <w:rsid w:val="00DF5A29"/>
    <w:rsid w:val="00DF664F"/>
    <w:rsid w:val="00DF712D"/>
    <w:rsid w:val="00E0316A"/>
    <w:rsid w:val="00E15353"/>
    <w:rsid w:val="00E15AEF"/>
    <w:rsid w:val="00E209B7"/>
    <w:rsid w:val="00E21396"/>
    <w:rsid w:val="00E2233A"/>
    <w:rsid w:val="00E244B6"/>
    <w:rsid w:val="00E27AC1"/>
    <w:rsid w:val="00E35AE2"/>
    <w:rsid w:val="00E409F5"/>
    <w:rsid w:val="00E504BE"/>
    <w:rsid w:val="00E508E5"/>
    <w:rsid w:val="00E51A6F"/>
    <w:rsid w:val="00E57748"/>
    <w:rsid w:val="00E60575"/>
    <w:rsid w:val="00E62C9E"/>
    <w:rsid w:val="00E67387"/>
    <w:rsid w:val="00E72671"/>
    <w:rsid w:val="00E73778"/>
    <w:rsid w:val="00E7496B"/>
    <w:rsid w:val="00E82789"/>
    <w:rsid w:val="00E8526B"/>
    <w:rsid w:val="00E86260"/>
    <w:rsid w:val="00E91118"/>
    <w:rsid w:val="00E979BF"/>
    <w:rsid w:val="00EA08E5"/>
    <w:rsid w:val="00EB2AB4"/>
    <w:rsid w:val="00EB49EF"/>
    <w:rsid w:val="00EC6F35"/>
    <w:rsid w:val="00ED0DBC"/>
    <w:rsid w:val="00EE3721"/>
    <w:rsid w:val="00EE6EC1"/>
    <w:rsid w:val="00EE7106"/>
    <w:rsid w:val="00EF0417"/>
    <w:rsid w:val="00EF1BDE"/>
    <w:rsid w:val="00F03322"/>
    <w:rsid w:val="00F03F6A"/>
    <w:rsid w:val="00F041FA"/>
    <w:rsid w:val="00F06E39"/>
    <w:rsid w:val="00F40252"/>
    <w:rsid w:val="00F47462"/>
    <w:rsid w:val="00F47EA3"/>
    <w:rsid w:val="00F500A2"/>
    <w:rsid w:val="00F556B8"/>
    <w:rsid w:val="00F55BA1"/>
    <w:rsid w:val="00F61AFB"/>
    <w:rsid w:val="00F64DE2"/>
    <w:rsid w:val="00F6560B"/>
    <w:rsid w:val="00F66533"/>
    <w:rsid w:val="00F760E9"/>
    <w:rsid w:val="00F76EE1"/>
    <w:rsid w:val="00F77E46"/>
    <w:rsid w:val="00F83CE1"/>
    <w:rsid w:val="00F840C8"/>
    <w:rsid w:val="00F840F2"/>
    <w:rsid w:val="00F879F2"/>
    <w:rsid w:val="00F916B0"/>
    <w:rsid w:val="00F966AB"/>
    <w:rsid w:val="00FA1C6F"/>
    <w:rsid w:val="00FA4DAC"/>
    <w:rsid w:val="00FA70D5"/>
    <w:rsid w:val="00FB1F87"/>
    <w:rsid w:val="00FC0014"/>
    <w:rsid w:val="00FC3146"/>
    <w:rsid w:val="00FC645D"/>
    <w:rsid w:val="00FD011A"/>
    <w:rsid w:val="00FD0BF1"/>
    <w:rsid w:val="00FD43A9"/>
    <w:rsid w:val="00FD5CA4"/>
    <w:rsid w:val="00FD686B"/>
    <w:rsid w:val="00FE2092"/>
    <w:rsid w:val="00FE3655"/>
    <w:rsid w:val="00FE7CA1"/>
    <w:rsid w:val="00FF0FE0"/>
    <w:rsid w:val="00FF2D6E"/>
    <w:rsid w:val="00FF3659"/>
    <w:rsid w:val="00FF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79F2"/>
    <w:rPr>
      <w:b/>
      <w:bCs/>
    </w:rPr>
  </w:style>
  <w:style w:type="character" w:styleId="a4">
    <w:name w:val="Hyperlink"/>
    <w:basedOn w:val="a0"/>
    <w:uiPriority w:val="99"/>
    <w:semiHidden/>
    <w:unhideWhenUsed/>
    <w:rsid w:val="00F879F2"/>
    <w:rPr>
      <w:color w:val="0000FF"/>
      <w:u w:val="single"/>
    </w:rPr>
  </w:style>
  <w:style w:type="character" w:customStyle="1" w:styleId="ss">
    <w:name w:val="ss"/>
    <w:basedOn w:val="a0"/>
    <w:rsid w:val="00F879F2"/>
  </w:style>
  <w:style w:type="paragraph" w:styleId="a5">
    <w:name w:val="Balloon Text"/>
    <w:basedOn w:val="a"/>
    <w:link w:val="a6"/>
    <w:uiPriority w:val="99"/>
    <w:semiHidden/>
    <w:unhideWhenUsed/>
    <w:rsid w:val="00F8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sur-info.ru/statistics/osago-rsa/?order=un03osagoRSA&amp;pair=za" TargetMode="External"/><Relationship Id="rId18" Type="http://schemas.openxmlformats.org/officeDocument/2006/relationships/hyperlink" Target="http://www.insur-info.ru/register/company/2/" TargetMode="External"/><Relationship Id="rId26" Type="http://schemas.openxmlformats.org/officeDocument/2006/relationships/hyperlink" Target="http://www.insur-info.ru/register/company/68/" TargetMode="External"/><Relationship Id="rId39" Type="http://schemas.openxmlformats.org/officeDocument/2006/relationships/hyperlink" Target="http://www.insur-info.ru/statistics/?unAction=main&amp;page=2&amp;hl=113&amp;year=2006&amp;decade=3" TargetMode="External"/><Relationship Id="rId21" Type="http://schemas.openxmlformats.org/officeDocument/2006/relationships/hyperlink" Target="http://www.insur-info.ru/statistics/?unAction=main&amp;page=1&amp;hl=13&amp;year=2006&amp;decade=3" TargetMode="External"/><Relationship Id="rId34" Type="http://schemas.openxmlformats.org/officeDocument/2006/relationships/hyperlink" Target="http://www.insur-info.ru/register/company/88/" TargetMode="External"/><Relationship Id="rId42" Type="http://schemas.openxmlformats.org/officeDocument/2006/relationships/hyperlink" Target="http://www.insur-info.ru/register/company/158/" TargetMode="External"/><Relationship Id="rId47" Type="http://schemas.openxmlformats.org/officeDocument/2006/relationships/hyperlink" Target="http://www.insur-info.ru/statistics/?unAction=main&amp;page=3&amp;hl=244&amp;year=2006&amp;decade=3" TargetMode="External"/><Relationship Id="rId50" Type="http://schemas.openxmlformats.org/officeDocument/2006/relationships/hyperlink" Target="http://www.insur-info.ru/register/company/263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insur-info.ru/statistics/osago-rsa/?order=comp_name&amp;pair=az" TargetMode="External"/><Relationship Id="rId12" Type="http://schemas.openxmlformats.org/officeDocument/2006/relationships/hyperlink" Target="http://www.insur-info.ru/statistics/osago-rsa/?order=un05osagoRSA&amp;pair=za" TargetMode="External"/><Relationship Id="rId17" Type="http://schemas.openxmlformats.org/officeDocument/2006/relationships/image" Target="media/image3.gif"/><Relationship Id="rId25" Type="http://schemas.openxmlformats.org/officeDocument/2006/relationships/hyperlink" Target="http://www.insur-info.ru/statistics/?unAction=main&amp;page=1&amp;hl=66&amp;year=2006&amp;decade=3" TargetMode="External"/><Relationship Id="rId33" Type="http://schemas.openxmlformats.org/officeDocument/2006/relationships/hyperlink" Target="http://www.insur-info.ru/statistics/?unAction=main&amp;page=1&amp;hl=86&amp;year=2006&amp;decade=3" TargetMode="External"/><Relationship Id="rId38" Type="http://schemas.openxmlformats.org/officeDocument/2006/relationships/hyperlink" Target="http://www.insur-info.ru/register/company/113/" TargetMode="External"/><Relationship Id="rId46" Type="http://schemas.openxmlformats.org/officeDocument/2006/relationships/hyperlink" Target="http://www.insur-info.ru/register/company/24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sur-info.ru/statistics/?unAction=main&amp;page=1&amp;hl=1&amp;year=2006&amp;decade=3" TargetMode="External"/><Relationship Id="rId20" Type="http://schemas.openxmlformats.org/officeDocument/2006/relationships/hyperlink" Target="http://www.insur-info.ru/register/company/13/" TargetMode="External"/><Relationship Id="rId29" Type="http://schemas.openxmlformats.org/officeDocument/2006/relationships/hyperlink" Target="http://www.insur-info.ru/statistics/?unAction=main&amp;page=1&amp;hl=70&amp;year=2006&amp;decade=3" TargetMode="External"/><Relationship Id="rId41" Type="http://schemas.openxmlformats.org/officeDocument/2006/relationships/hyperlink" Target="http://www.insur-info.ru/statistics/?unAction=main&amp;page=2&amp;hl=141&amp;year=2006&amp;decade=3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insur-info.ru/statistics/osago-rsa/?order=un02osagoRSA&amp;pair=za" TargetMode="External"/><Relationship Id="rId24" Type="http://schemas.openxmlformats.org/officeDocument/2006/relationships/hyperlink" Target="http://www.insur-info.ru/register/company/66/" TargetMode="External"/><Relationship Id="rId32" Type="http://schemas.openxmlformats.org/officeDocument/2006/relationships/hyperlink" Target="http://www.insur-info.ru/register/company/86/" TargetMode="External"/><Relationship Id="rId37" Type="http://schemas.openxmlformats.org/officeDocument/2006/relationships/hyperlink" Target="http://www.insur-info.ru/statistics/?unAction=main&amp;page=1&amp;hl=105&amp;year=2006&amp;decade=3" TargetMode="External"/><Relationship Id="rId40" Type="http://schemas.openxmlformats.org/officeDocument/2006/relationships/hyperlink" Target="http://www.insur-info.ru/register/company/141/" TargetMode="External"/><Relationship Id="rId45" Type="http://schemas.openxmlformats.org/officeDocument/2006/relationships/hyperlink" Target="http://www.insur-info.ru/statistics/?unAction=main&amp;page=2&amp;hl=177&amp;year=2006&amp;decade=3" TargetMode="External"/><Relationship Id="rId53" Type="http://schemas.openxmlformats.org/officeDocument/2006/relationships/hyperlink" Target="http://www.insur-info.ru/statistics/?unAction=main&amp;page=3&amp;hl=290&amp;year=2006&amp;decade=3" TargetMode="External"/><Relationship Id="rId5" Type="http://schemas.openxmlformats.org/officeDocument/2006/relationships/hyperlink" Target="http://www.insur-info.ru/statistics/osago-rsa/?order=comp_reg_num&amp;pair=za#t" TargetMode="External"/><Relationship Id="rId15" Type="http://schemas.openxmlformats.org/officeDocument/2006/relationships/hyperlink" Target="http://www.insur-info.ru/register/company/1/" TargetMode="External"/><Relationship Id="rId23" Type="http://schemas.openxmlformats.org/officeDocument/2006/relationships/hyperlink" Target="http://www.insur-info.ru/statistics/?unAction=main&amp;page=1&amp;hl=46&amp;year=2006&amp;decade=3" TargetMode="External"/><Relationship Id="rId28" Type="http://schemas.openxmlformats.org/officeDocument/2006/relationships/hyperlink" Target="http://www.insur-info.ru/register/company/70/" TargetMode="External"/><Relationship Id="rId36" Type="http://schemas.openxmlformats.org/officeDocument/2006/relationships/hyperlink" Target="http://www.insur-info.ru/register/company/105/" TargetMode="External"/><Relationship Id="rId49" Type="http://schemas.openxmlformats.org/officeDocument/2006/relationships/hyperlink" Target="http://www.insur-info.ru/statistics/?unAction=main&amp;page=3&amp;hl=248&amp;year=2006&amp;decade=3" TargetMode="External"/><Relationship Id="rId10" Type="http://schemas.openxmlformats.org/officeDocument/2006/relationships/hyperlink" Target="http://www.insur-info.ru/statistics/osago-rsa/?order=un01osagoRSA&amp;pair=za" TargetMode="External"/><Relationship Id="rId19" Type="http://schemas.openxmlformats.org/officeDocument/2006/relationships/hyperlink" Target="http://www.insur-info.ru/statistics/?unAction=main&amp;page=1&amp;hl=2&amp;year=2006&amp;decade=3" TargetMode="External"/><Relationship Id="rId31" Type="http://schemas.openxmlformats.org/officeDocument/2006/relationships/hyperlink" Target="http://www.insur-info.ru/statistics/?unAction=main&amp;page=1&amp;hl=81&amp;year=2006&amp;decade=3" TargetMode="External"/><Relationship Id="rId44" Type="http://schemas.openxmlformats.org/officeDocument/2006/relationships/hyperlink" Target="http://www.insur-info.ru/register/company/177/" TargetMode="External"/><Relationship Id="rId52" Type="http://schemas.openxmlformats.org/officeDocument/2006/relationships/hyperlink" Target="http://www.insur-info.ru/register/company/290/" TargetMode="External"/><Relationship Id="rId4" Type="http://schemas.openxmlformats.org/officeDocument/2006/relationships/hyperlink" Target="http://www.insur-info.ru/statistics/osago-rsa/?order=comp_reg_num&amp;pair=za" TargetMode="External"/><Relationship Id="rId9" Type="http://schemas.openxmlformats.org/officeDocument/2006/relationships/hyperlink" Target="http://www.insur-info.ru/statistics/osago-rsa/?order=comp_city&amp;pair=az" TargetMode="External"/><Relationship Id="rId14" Type="http://schemas.openxmlformats.org/officeDocument/2006/relationships/hyperlink" Target="http://www.insur-info.ru/statistics/osago-rsa/?order=un04osagoRSA&amp;pair=za" TargetMode="External"/><Relationship Id="rId22" Type="http://schemas.openxmlformats.org/officeDocument/2006/relationships/hyperlink" Target="http://www.insur-info.ru/register/company/46/" TargetMode="External"/><Relationship Id="rId27" Type="http://schemas.openxmlformats.org/officeDocument/2006/relationships/hyperlink" Target="http://www.insur-info.ru/statistics/?unAction=main&amp;page=1&amp;hl=68&amp;year=2006&amp;decade=3" TargetMode="External"/><Relationship Id="rId30" Type="http://schemas.openxmlformats.org/officeDocument/2006/relationships/hyperlink" Target="http://www.insur-info.ru/register/company/81/" TargetMode="External"/><Relationship Id="rId35" Type="http://schemas.openxmlformats.org/officeDocument/2006/relationships/hyperlink" Target="http://www.insur-info.ru/statistics/?unAction=main&amp;page=1&amp;hl=88&amp;year=2006&amp;decade=3" TargetMode="External"/><Relationship Id="rId43" Type="http://schemas.openxmlformats.org/officeDocument/2006/relationships/hyperlink" Target="http://www.insur-info.ru/statistics/?unAction=main&amp;page=2&amp;hl=158&amp;year=2006&amp;decade=3" TargetMode="External"/><Relationship Id="rId48" Type="http://schemas.openxmlformats.org/officeDocument/2006/relationships/hyperlink" Target="http://www.insur-info.ru/register/company/248/" TargetMode="External"/><Relationship Id="rId8" Type="http://schemas.openxmlformats.org/officeDocument/2006/relationships/image" Target="media/image2.gif"/><Relationship Id="rId51" Type="http://schemas.openxmlformats.org/officeDocument/2006/relationships/hyperlink" Target="http://www.insur-info.ru/statistics/?unAction=main&amp;page=3&amp;hl=263&amp;year=2006&amp;decade=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3614</Characters>
  <Application>Microsoft Office Word</Application>
  <DocSecurity>0</DocSecurity>
  <Lines>30</Lines>
  <Paragraphs>8</Paragraphs>
  <ScaleCrop>false</ScaleCrop>
  <Company>Hewlett-Packard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2013-01-31T12:32:00Z</dcterms:created>
  <dcterms:modified xsi:type="dcterms:W3CDTF">2013-01-31T12:34:00Z</dcterms:modified>
</cp:coreProperties>
</file>